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F1D" w:rsidRPr="002B5F1D" w:rsidRDefault="002B5F1D" w:rsidP="002B5F1D">
      <w:pPr>
        <w:keepNext/>
        <w:tabs>
          <w:tab w:val="right" w:pos="7938"/>
        </w:tabs>
        <w:spacing w:after="0" w:line="240" w:lineRule="auto"/>
        <w:jc w:val="both"/>
        <w:outlineLvl w:val="0"/>
        <w:rPr>
          <w:rFonts w:ascii="Times New Roman" w:eastAsia="Times New Roman" w:hAnsi="Times New Roman" w:cs="Times New Roman"/>
          <w:sz w:val="24"/>
          <w:szCs w:val="20"/>
          <w:lang w:eastAsia="tr-TR"/>
        </w:rPr>
      </w:pPr>
      <w:bookmarkStart w:id="0" w:name="b1"/>
      <w:r w:rsidRPr="002B5F1D">
        <w:rPr>
          <w:rFonts w:ascii="Times New Roman" w:eastAsia="Times New Roman" w:hAnsi="Times New Roman" w:cs="Times New Roman"/>
          <w:b/>
          <w:bCs/>
          <w:color w:val="636363"/>
          <w:sz w:val="24"/>
          <w:szCs w:val="20"/>
          <w:lang w:eastAsia="tr-TR"/>
        </w:rPr>
        <w:t>ÖĞRETİM MATERYALLERİ HAZIRLAMA</w:t>
      </w:r>
    </w:p>
    <w:p w:rsidR="002B5F1D" w:rsidRPr="002B5F1D" w:rsidRDefault="002B5F1D" w:rsidP="002B5F1D">
      <w:pPr>
        <w:spacing w:after="0" w:line="240" w:lineRule="auto"/>
        <w:ind w:firstLine="708"/>
        <w:jc w:val="both"/>
        <w:rPr>
          <w:rFonts w:ascii="Times New Roman" w:eastAsia="Times New Roman" w:hAnsi="Times New Roman" w:cs="Times New Roman"/>
          <w:sz w:val="24"/>
          <w:szCs w:val="20"/>
          <w:lang w:eastAsia="tr-TR"/>
        </w:rPr>
      </w:pPr>
      <w:r w:rsidRPr="002B5F1D">
        <w:rPr>
          <w:rFonts w:ascii="Times New Roman" w:eastAsia="Times New Roman" w:hAnsi="Times New Roman" w:cs="Times New Roman"/>
          <w:color w:val="636363"/>
          <w:sz w:val="24"/>
          <w:szCs w:val="20"/>
          <w:lang w:eastAsia="tr-TR"/>
        </w:rPr>
        <w:t>Eğitim, bireyleri yaşama hazırlama süreci olmasının yanı sıra, yaşamın ta kendisidir. Bu gerçekten hareketle eğitim ortamlarının yaşamla iç içe olması dikkate alınması gereken bir gerçektir. Eğitim ortamlarının gerçek yaşamla tutarlılık göstermesi diğer bir deyişle somutlaştırılması ve öğrenci için anlamlı hale getirilmesi, öğrenci başarısına katkıda bulunan etkenlerin başında gelmektedir. Bu noktada öğretmenlerin, eğitim ortamını düzenlemede ve öğrencinin hizmetine sunmada önemli bir görevi vardır. Bu görevi başarı ile yerine getirebilmek için, öğretmenlerin bazı kritik becerilere ve özelliklere sahip olmaları gerekmektedir. Bu becerilerin başında ise öğretim ortamlarının öğrenci ihtiyacına ve gerçek hayata uygun olarak düzenlenmesi gelir.</w:t>
      </w:r>
    </w:p>
    <w:p w:rsidR="002B5F1D" w:rsidRPr="002B5F1D" w:rsidRDefault="002B5F1D" w:rsidP="002B5F1D">
      <w:pPr>
        <w:spacing w:after="0" w:line="240" w:lineRule="auto"/>
        <w:jc w:val="both"/>
        <w:rPr>
          <w:rFonts w:ascii="Times New Roman" w:eastAsia="Times New Roman" w:hAnsi="Times New Roman" w:cs="Times New Roman"/>
          <w:sz w:val="20"/>
          <w:szCs w:val="20"/>
          <w:lang w:val="en-US" w:eastAsia="tr-TR"/>
        </w:rPr>
      </w:pPr>
      <w:r w:rsidRPr="002B5F1D">
        <w:rPr>
          <w:rFonts w:ascii="Times New Roman" w:eastAsia="Times New Roman" w:hAnsi="Times New Roman" w:cs="Times New Roman"/>
          <w:color w:val="636363"/>
          <w:sz w:val="24"/>
          <w:szCs w:val="20"/>
          <w:lang w:eastAsia="tr-TR"/>
        </w:rPr>
        <w:tab/>
        <w:t>Öğretim ortamlarının etkin düzenlenmesi her zaman zor ve pahalı bir iş değildir. Bazen basit bir biçimde hazırlanan resim veya asetat, sözlü olarak vermek istediğimiz bilginin çok daha kısa sürede ve kalıcı verilmesini sağlar.</w:t>
      </w:r>
    </w:p>
    <w:p w:rsidR="002B5F1D" w:rsidRPr="002B5F1D" w:rsidRDefault="002B5F1D" w:rsidP="002B5F1D">
      <w:pPr>
        <w:spacing w:after="0" w:line="240" w:lineRule="auto"/>
        <w:jc w:val="both"/>
        <w:rPr>
          <w:rFonts w:ascii="Times New Roman" w:eastAsia="Times New Roman" w:hAnsi="Times New Roman" w:cs="Times New Roman"/>
          <w:sz w:val="20"/>
          <w:szCs w:val="20"/>
          <w:lang w:val="en-US" w:eastAsia="tr-TR"/>
        </w:rPr>
      </w:pPr>
      <w:r w:rsidRPr="002B5F1D">
        <w:rPr>
          <w:rFonts w:ascii="Times New Roman" w:eastAsia="Times New Roman" w:hAnsi="Times New Roman" w:cs="Times New Roman"/>
          <w:sz w:val="20"/>
          <w:szCs w:val="20"/>
          <w:lang w:val="en-US" w:eastAsia="tr-TR"/>
        </w:rPr>
        <w:t> </w:t>
      </w:r>
    </w:p>
    <w:p w:rsidR="002B5F1D" w:rsidRDefault="002B5F1D" w:rsidP="002B5F1D">
      <w:pPr>
        <w:pStyle w:val="Balk2"/>
      </w:pPr>
      <w:bookmarkStart w:id="1" w:name="b2"/>
      <w:bookmarkStart w:id="2" w:name="_Toc530465702"/>
      <w:bookmarkEnd w:id="0"/>
      <w:bookmarkEnd w:id="1"/>
      <w:r>
        <w:rPr>
          <w:color w:val="636363"/>
        </w:rPr>
        <w:t>Öğretim Materyallerinin Öğretim Ortamlardaki Yeri ve Önemi</w:t>
      </w:r>
      <w:bookmarkEnd w:id="2"/>
    </w:p>
    <w:p w:rsidR="002B5F1D" w:rsidRDefault="002B5F1D" w:rsidP="002B5F1D">
      <w:pPr>
        <w:pStyle w:val="GvdeMetni"/>
      </w:pPr>
      <w:r>
        <w:rPr>
          <w:color w:val="636363"/>
        </w:rPr>
        <w:tab/>
        <w:t>Öğretim materyallerinin öğretim ortamlardaki etkinliğini açıklamadan önce, kavram olarak öğretimin ne anlama geldiği üzerinde durmalıyız. Çünkü öğretimden ne anladığımız, öğretmen olarak öğretimi nasıl gerçekleştirdiğimizi ve bu süreç içinde öğretimsel materyalleri nasıl geliştirdiğimiz ve kullandığımızı da etkiler.</w:t>
      </w:r>
    </w:p>
    <w:p w:rsidR="002B5F1D" w:rsidRDefault="002B5F1D" w:rsidP="002B5F1D">
      <w:pPr>
        <w:jc w:val="both"/>
      </w:pPr>
      <w:r>
        <w:rPr>
          <w:color w:val="636363"/>
          <w:sz w:val="24"/>
        </w:rPr>
        <w:tab/>
        <w:t xml:space="preserve">Her ne kadar öğrenmenin bireysel ve toplumsal önemi üzerinde bir görüş birliği sağlanmış olsa da öğrenme olgusunun tanımlanmasında aynı görüş birliğinin olduğunu söylemek </w:t>
      </w:r>
      <w:proofErr w:type="gramStart"/>
      <w:r>
        <w:rPr>
          <w:color w:val="636363"/>
          <w:sz w:val="24"/>
        </w:rPr>
        <w:t>imkansızdır</w:t>
      </w:r>
      <w:proofErr w:type="gramEnd"/>
      <w:r>
        <w:rPr>
          <w:color w:val="636363"/>
          <w:sz w:val="24"/>
        </w:rPr>
        <w:t>. Buna rağmen, öğrenmeyi bireyin davranışlarında ya da kapasitesinde zaman içinde ve bireyin yaşantılarının sonucunda meydana gelen değişiklikler olarak tanımlayabiliriz. Ürün olarak öğrenmenin, bireyin davranış tutum ve kapasitesinde meydana gelen değişiklikler olduğu kabul edilse de, süreç olarak öğrenmenin ne olduğunun açıklanmasında farklı yaklaşımların olduğunu görmekteyiz.</w:t>
      </w:r>
    </w:p>
    <w:p w:rsidR="002B5F1D" w:rsidRDefault="002B5F1D" w:rsidP="002B5F1D">
      <w:pPr>
        <w:jc w:val="both"/>
      </w:pPr>
      <w:r>
        <w:t> </w:t>
      </w:r>
    </w:p>
    <w:p w:rsidR="002B5F1D" w:rsidRDefault="002B5F1D" w:rsidP="002B5F1D">
      <w:pPr>
        <w:pStyle w:val="Balk2"/>
      </w:pPr>
      <w:bookmarkStart w:id="3" w:name="b3"/>
      <w:bookmarkStart w:id="4" w:name="_Toc530465703"/>
      <w:bookmarkEnd w:id="3"/>
      <w:r>
        <w:rPr>
          <w:color w:val="636363"/>
        </w:rPr>
        <w:t>Davranışsal Eğitim Anlayışı</w:t>
      </w:r>
      <w:bookmarkEnd w:id="4"/>
    </w:p>
    <w:p w:rsidR="002B5F1D" w:rsidRDefault="002B5F1D" w:rsidP="002B5F1D">
      <w:pPr>
        <w:jc w:val="both"/>
        <w:rPr>
          <w:sz w:val="24"/>
        </w:rPr>
      </w:pPr>
      <w:r>
        <w:rPr>
          <w:b/>
          <w:color w:val="636363"/>
          <w:sz w:val="24"/>
        </w:rPr>
        <w:tab/>
      </w:r>
      <w:r>
        <w:rPr>
          <w:color w:val="636363"/>
          <w:sz w:val="24"/>
        </w:rPr>
        <w:t>Öğrenme teorilerini genel başlıklar altında sınıflandırdığımızda karşımıza şu iki temel öğrenme anlayışının çıktığını görmekteyiz.</w:t>
      </w:r>
    </w:p>
    <w:p w:rsidR="002B5F1D" w:rsidRDefault="002B5F1D" w:rsidP="002B5F1D">
      <w:pPr>
        <w:jc w:val="both"/>
        <w:rPr>
          <w:sz w:val="24"/>
        </w:rPr>
      </w:pPr>
      <w:r>
        <w:rPr>
          <w:color w:val="636363"/>
          <w:sz w:val="24"/>
        </w:rPr>
        <w:t xml:space="preserve">a) </w:t>
      </w:r>
      <w:proofErr w:type="gramStart"/>
      <w:r>
        <w:rPr>
          <w:color w:val="636363"/>
          <w:sz w:val="24"/>
        </w:rPr>
        <w:t>Davranışsal  b</w:t>
      </w:r>
      <w:proofErr w:type="gramEnd"/>
      <w:r>
        <w:rPr>
          <w:color w:val="636363"/>
          <w:sz w:val="24"/>
        </w:rPr>
        <w:t>) Bilişsel</w:t>
      </w:r>
    </w:p>
    <w:p w:rsidR="002B5F1D" w:rsidRDefault="002B5F1D" w:rsidP="002B5F1D">
      <w:pPr>
        <w:jc w:val="both"/>
        <w:rPr>
          <w:sz w:val="20"/>
          <w:lang w:val="en-US"/>
        </w:rPr>
      </w:pPr>
      <w:r>
        <w:rPr>
          <w:color w:val="636363"/>
          <w:sz w:val="24"/>
        </w:rPr>
        <w:t>Davranışsal öğrenme anlayışına göre öğrenme, birey ile öğrenilecek davranış arasındaki etkileşim sürecinin sonucu olarak her bireyin davranışlarında meydana gelen gözlenebilir ve ölçülebilir değişiklikler olarak tanımlanmıştır. Bu anlayışın temelinde yatan felsefenin kökeni psikoloji biliminin kurucularından olan J.B. Watson’a kadar uzanmaktadır.</w:t>
      </w:r>
    </w:p>
    <w:p w:rsidR="002B5F1D" w:rsidRDefault="002B5F1D" w:rsidP="002B5F1D">
      <w:pPr>
        <w:pStyle w:val="Balk2"/>
      </w:pPr>
      <w:bookmarkStart w:id="5" w:name="_Toc530465705"/>
      <w:r>
        <w:rPr>
          <w:color w:val="636363"/>
        </w:rPr>
        <w:t>Materyallerinin Öğretim Ortamındaki İşlevleri</w:t>
      </w:r>
      <w:bookmarkEnd w:id="5"/>
    </w:p>
    <w:p w:rsidR="002B5F1D" w:rsidRDefault="002B5F1D" w:rsidP="002B5F1D">
      <w:pPr>
        <w:jc w:val="both"/>
        <w:rPr>
          <w:sz w:val="24"/>
        </w:rPr>
      </w:pPr>
      <w:r>
        <w:rPr>
          <w:b/>
          <w:color w:val="636363"/>
          <w:sz w:val="24"/>
        </w:rPr>
        <w:tab/>
      </w:r>
      <w:r>
        <w:rPr>
          <w:color w:val="636363"/>
          <w:sz w:val="24"/>
        </w:rPr>
        <w:t xml:space="preserve">Materyaller, bazı öğretim ortamları da öğrenmeyi destekleyici amaçla kullanıldığı halde, bazı ortamlarda ise tamamen öğretmen rolü üstlenerek içeriği doğrudan öğrencilere aktarmaktadır. </w:t>
      </w:r>
    </w:p>
    <w:p w:rsidR="002B5F1D" w:rsidRDefault="002B5F1D" w:rsidP="002B5F1D">
      <w:pPr>
        <w:jc w:val="both"/>
        <w:rPr>
          <w:sz w:val="24"/>
        </w:rPr>
      </w:pPr>
      <w:r>
        <w:rPr>
          <w:color w:val="636363"/>
          <w:sz w:val="24"/>
        </w:rPr>
        <w:lastRenderedPageBreak/>
        <w:tab/>
        <w:t xml:space="preserve">Farklı öğretim materyallerinin, öğretim ortamındaki işlevleri ve önemini Edgar </w:t>
      </w:r>
      <w:proofErr w:type="spellStart"/>
      <w:r>
        <w:rPr>
          <w:color w:val="636363"/>
          <w:sz w:val="24"/>
        </w:rPr>
        <w:t>Dale</w:t>
      </w:r>
      <w:proofErr w:type="spellEnd"/>
      <w:r>
        <w:rPr>
          <w:color w:val="636363"/>
          <w:sz w:val="24"/>
        </w:rPr>
        <w:t xml:space="preserve"> tarafından oluşturulan yaşantı konisinde gösterilmektedir.</w:t>
      </w:r>
    </w:p>
    <w:p w:rsidR="002B5F1D" w:rsidRDefault="002B5F1D" w:rsidP="002B5F1D">
      <w:pPr>
        <w:jc w:val="both"/>
        <w:rPr>
          <w:sz w:val="24"/>
        </w:rPr>
      </w:pPr>
      <w:r>
        <w:rPr>
          <w:color w:val="636363"/>
          <w:sz w:val="24"/>
        </w:rPr>
        <w:tab/>
        <w:t>Bu koninin dayandığı ilkeler, Çilenti tarafından şu şekilde açıklanmaktadır:</w:t>
      </w:r>
    </w:p>
    <w:p w:rsidR="002B5F1D" w:rsidRDefault="002B5F1D" w:rsidP="002B5F1D">
      <w:pPr>
        <w:ind w:left="708"/>
        <w:jc w:val="both"/>
        <w:rPr>
          <w:sz w:val="24"/>
        </w:rPr>
      </w:pPr>
      <w:r>
        <w:rPr>
          <w:color w:val="636363"/>
          <w:sz w:val="24"/>
        </w:rPr>
        <w:t>1- Öğrenme işlemine katılan duyu organlarımızın sayısı ne kadar fazla ise o kadar iyi öğrenir ve öğrenmelerimiz o kadar kalıcı olur.</w:t>
      </w:r>
    </w:p>
    <w:p w:rsidR="002B5F1D" w:rsidRDefault="002B5F1D" w:rsidP="002B5F1D">
      <w:pPr>
        <w:ind w:firstLine="708"/>
        <w:jc w:val="both"/>
        <w:rPr>
          <w:sz w:val="24"/>
        </w:rPr>
      </w:pPr>
      <w:r>
        <w:rPr>
          <w:color w:val="636363"/>
          <w:sz w:val="24"/>
        </w:rPr>
        <w:t>2- En iyi öğrendiğimiz şeyler, kendi kendimize yaparak öğrendiğimiz şeylerdir.</w:t>
      </w:r>
    </w:p>
    <w:p w:rsidR="002B5F1D" w:rsidRDefault="002B5F1D" w:rsidP="002B5F1D">
      <w:pPr>
        <w:ind w:firstLine="705"/>
        <w:jc w:val="both"/>
        <w:rPr>
          <w:sz w:val="24"/>
        </w:rPr>
      </w:pPr>
      <w:r>
        <w:rPr>
          <w:color w:val="636363"/>
          <w:sz w:val="24"/>
        </w:rPr>
        <w:t>3- En iyi öğrenim soyuttan somuta ve basitten karmaşığa doğru gidilendir.</w:t>
      </w:r>
    </w:p>
    <w:p w:rsidR="002B5F1D" w:rsidRDefault="002B5F1D" w:rsidP="002B5F1D">
      <w:pPr>
        <w:ind w:left="705"/>
        <w:jc w:val="both"/>
        <w:rPr>
          <w:sz w:val="24"/>
        </w:rPr>
      </w:pPr>
      <w:proofErr w:type="spellStart"/>
      <w:r>
        <w:rPr>
          <w:color w:val="636363"/>
          <w:sz w:val="24"/>
        </w:rPr>
        <w:t>Dale’nin</w:t>
      </w:r>
      <w:proofErr w:type="spellEnd"/>
      <w:r>
        <w:rPr>
          <w:color w:val="636363"/>
          <w:sz w:val="24"/>
        </w:rPr>
        <w:t xml:space="preserve"> yaşam konisine benzer bir sınıflandırma da 1937’lerde </w:t>
      </w:r>
      <w:proofErr w:type="spellStart"/>
      <w:r>
        <w:rPr>
          <w:color w:val="636363"/>
          <w:sz w:val="24"/>
        </w:rPr>
        <w:t>Hoban</w:t>
      </w:r>
      <w:proofErr w:type="spellEnd"/>
      <w:r>
        <w:rPr>
          <w:color w:val="636363"/>
          <w:sz w:val="24"/>
        </w:rPr>
        <w:t xml:space="preserve"> tarafından görsel-işitsel araçların sınıflandırılmasında da kullanılmıştır. Buna göre, eğitim ortamında kullanılan materyaller, sundukları eğitim ortamının soyuttan somuta oluş özelliğine göre sınıflandırılmıştır.</w:t>
      </w:r>
    </w:p>
    <w:p w:rsidR="002B5F1D" w:rsidRDefault="002B5F1D" w:rsidP="002B5F1D">
      <w:pPr>
        <w:ind w:firstLine="705"/>
        <w:jc w:val="both"/>
        <w:rPr>
          <w:sz w:val="24"/>
        </w:rPr>
      </w:pPr>
      <w:r>
        <w:rPr>
          <w:color w:val="636363"/>
          <w:sz w:val="24"/>
        </w:rPr>
        <w:t xml:space="preserve">Bu sınıflandırmadan da anlaşılacağı gibi, eğitim materyallerinin en etkin kullanım amaçları, öğretilecek içeriğin soyuttan somuta doğru </w:t>
      </w:r>
      <w:proofErr w:type="spellStart"/>
      <w:r>
        <w:rPr>
          <w:color w:val="636363"/>
          <w:sz w:val="24"/>
        </w:rPr>
        <w:t>aşamalandırılması</w:t>
      </w:r>
      <w:proofErr w:type="spellEnd"/>
      <w:r>
        <w:rPr>
          <w:color w:val="636363"/>
          <w:sz w:val="24"/>
        </w:rPr>
        <w:t xml:space="preserve"> ve öğrencinin birden fazla duyu organına hitap etmesini sağlamaktır. Örneğin </w:t>
      </w:r>
      <w:proofErr w:type="spellStart"/>
      <w:r>
        <w:rPr>
          <w:color w:val="636363"/>
          <w:sz w:val="24"/>
        </w:rPr>
        <w:t>Piget’e</w:t>
      </w:r>
      <w:proofErr w:type="spellEnd"/>
      <w:r>
        <w:rPr>
          <w:color w:val="636363"/>
          <w:sz w:val="24"/>
        </w:rPr>
        <w:t xml:space="preserve"> göre, ilkokul çağındaki çocuklar somut işlemler dönemindedir. Bundan dolayı da bu dönemdeki çocuklara kazandırmak istediğimiz davranışlar için hazırladığımız ders içeriği, onların beş duyu organına hitap edecek özellikte somut materyaller ile desteklenmiş olmalıdır.</w:t>
      </w:r>
    </w:p>
    <w:p w:rsidR="002B5F1D" w:rsidRDefault="002B5F1D" w:rsidP="002B5F1D">
      <w:pPr>
        <w:ind w:left="705"/>
        <w:jc w:val="both"/>
        <w:rPr>
          <w:sz w:val="24"/>
        </w:rPr>
      </w:pPr>
      <w:r>
        <w:rPr>
          <w:color w:val="636363"/>
          <w:sz w:val="24"/>
        </w:rPr>
        <w:tab/>
        <w:t>Zaman sabit tutulmak üzere insanlar;</w:t>
      </w:r>
    </w:p>
    <w:p w:rsidR="002B5F1D" w:rsidRDefault="002B5F1D" w:rsidP="002B5F1D">
      <w:pPr>
        <w:jc w:val="both"/>
        <w:rPr>
          <w:sz w:val="24"/>
        </w:rPr>
      </w:pPr>
      <w:proofErr w:type="gramStart"/>
      <w:r>
        <w:rPr>
          <w:color w:val="636363"/>
          <w:sz w:val="24"/>
        </w:rPr>
        <w:t>okuduklarından</w:t>
      </w:r>
      <w:proofErr w:type="gramEnd"/>
      <w:r>
        <w:rPr>
          <w:color w:val="636363"/>
          <w:sz w:val="24"/>
        </w:rPr>
        <w:t xml:space="preserve"> %10’u </w:t>
      </w:r>
    </w:p>
    <w:p w:rsidR="002B5F1D" w:rsidRDefault="002B5F1D" w:rsidP="002B5F1D">
      <w:pPr>
        <w:jc w:val="both"/>
        <w:rPr>
          <w:sz w:val="24"/>
        </w:rPr>
      </w:pPr>
      <w:proofErr w:type="gramStart"/>
      <w:r>
        <w:rPr>
          <w:color w:val="636363"/>
          <w:sz w:val="24"/>
        </w:rPr>
        <w:t>işittiklerinden</w:t>
      </w:r>
      <w:proofErr w:type="gramEnd"/>
      <w:r>
        <w:rPr>
          <w:color w:val="636363"/>
          <w:sz w:val="24"/>
        </w:rPr>
        <w:t xml:space="preserve"> %20’si</w:t>
      </w:r>
    </w:p>
    <w:p w:rsidR="002B5F1D" w:rsidRDefault="002B5F1D" w:rsidP="002B5F1D">
      <w:pPr>
        <w:jc w:val="both"/>
        <w:rPr>
          <w:sz w:val="24"/>
        </w:rPr>
      </w:pPr>
      <w:proofErr w:type="gramStart"/>
      <w:r>
        <w:rPr>
          <w:color w:val="636363"/>
          <w:sz w:val="24"/>
        </w:rPr>
        <w:t>gördüklerinin</w:t>
      </w:r>
      <w:proofErr w:type="gramEnd"/>
      <w:r>
        <w:rPr>
          <w:color w:val="636363"/>
          <w:sz w:val="24"/>
        </w:rPr>
        <w:t xml:space="preserve"> %30’u</w:t>
      </w:r>
    </w:p>
    <w:p w:rsidR="002B5F1D" w:rsidRDefault="002B5F1D" w:rsidP="002B5F1D">
      <w:pPr>
        <w:jc w:val="both"/>
        <w:rPr>
          <w:sz w:val="24"/>
        </w:rPr>
      </w:pPr>
      <w:proofErr w:type="gramStart"/>
      <w:r>
        <w:rPr>
          <w:color w:val="636363"/>
          <w:sz w:val="24"/>
        </w:rPr>
        <w:t>hem</w:t>
      </w:r>
      <w:proofErr w:type="gramEnd"/>
      <w:r>
        <w:rPr>
          <w:color w:val="636363"/>
          <w:sz w:val="24"/>
        </w:rPr>
        <w:t xml:space="preserve"> görüp hem işittiklerinin %50’sini</w:t>
      </w:r>
    </w:p>
    <w:p w:rsidR="002B5F1D" w:rsidRDefault="002B5F1D" w:rsidP="002B5F1D">
      <w:pPr>
        <w:jc w:val="both"/>
        <w:rPr>
          <w:sz w:val="24"/>
        </w:rPr>
      </w:pPr>
      <w:proofErr w:type="gramStart"/>
      <w:r>
        <w:rPr>
          <w:color w:val="636363"/>
          <w:sz w:val="24"/>
        </w:rPr>
        <w:t>söylediklerinin</w:t>
      </w:r>
      <w:proofErr w:type="gramEnd"/>
      <w:r>
        <w:rPr>
          <w:color w:val="636363"/>
          <w:sz w:val="24"/>
        </w:rPr>
        <w:t xml:space="preserve"> %70’ini</w:t>
      </w:r>
    </w:p>
    <w:p w:rsidR="002B5F1D" w:rsidRDefault="002B5F1D" w:rsidP="002B5F1D">
      <w:pPr>
        <w:jc w:val="both"/>
        <w:rPr>
          <w:sz w:val="24"/>
        </w:rPr>
      </w:pPr>
      <w:proofErr w:type="gramStart"/>
      <w:r>
        <w:rPr>
          <w:color w:val="636363"/>
          <w:sz w:val="24"/>
        </w:rPr>
        <w:t>yapıp</w:t>
      </w:r>
      <w:proofErr w:type="gramEnd"/>
      <w:r>
        <w:rPr>
          <w:color w:val="636363"/>
          <w:sz w:val="24"/>
        </w:rPr>
        <w:t xml:space="preserve"> söylediklerinin %90’ını hatırlamaktadırlar.</w:t>
      </w:r>
    </w:p>
    <w:p w:rsidR="002B5F1D" w:rsidRDefault="002B5F1D" w:rsidP="002B5F1D">
      <w:pPr>
        <w:ind w:firstLine="705"/>
        <w:jc w:val="both"/>
        <w:rPr>
          <w:sz w:val="24"/>
        </w:rPr>
      </w:pPr>
      <w:r>
        <w:rPr>
          <w:color w:val="636363"/>
          <w:sz w:val="24"/>
        </w:rPr>
        <w:t>Bir eğitimci, öğretim materyallerini bu bulguları göz önüne alarak hazırlamalı ve öğretim ortamında öğrencinin kullanımına sunabilmelidir.</w:t>
      </w:r>
    </w:p>
    <w:p w:rsidR="002B5F1D" w:rsidRDefault="002B5F1D" w:rsidP="002B5F1D">
      <w:pPr>
        <w:ind w:firstLine="705"/>
        <w:jc w:val="both"/>
        <w:rPr>
          <w:sz w:val="24"/>
          <w:lang w:val="en-US"/>
        </w:rPr>
      </w:pPr>
      <w:r>
        <w:rPr>
          <w:color w:val="636363"/>
          <w:sz w:val="24"/>
        </w:rPr>
        <w:t>Ayrıca öğretim materyallerinin hazırlanması ve derste kullanılması özel bir önem ve dikkat ister. Bunlar;</w:t>
      </w:r>
    </w:p>
    <w:p w:rsidR="002B5F1D" w:rsidRDefault="002B5F1D" w:rsidP="002B5F1D">
      <w:pPr>
        <w:numPr>
          <w:ilvl w:val="0"/>
          <w:numId w:val="1"/>
        </w:numPr>
        <w:spacing w:after="0" w:line="240" w:lineRule="auto"/>
        <w:jc w:val="both"/>
        <w:rPr>
          <w:sz w:val="24"/>
        </w:rPr>
      </w:pPr>
      <w:r>
        <w:rPr>
          <w:color w:val="636363"/>
          <w:sz w:val="24"/>
        </w:rPr>
        <w:t>Öğretim materyali hedef davranışlara, öğrencinin hazır bulunuşluk düzeyine uygun olmalıdır.</w:t>
      </w:r>
    </w:p>
    <w:p w:rsidR="002B5F1D" w:rsidRDefault="002B5F1D" w:rsidP="002B5F1D">
      <w:pPr>
        <w:numPr>
          <w:ilvl w:val="0"/>
          <w:numId w:val="1"/>
        </w:numPr>
        <w:spacing w:after="0" w:line="240" w:lineRule="auto"/>
        <w:jc w:val="both"/>
        <w:rPr>
          <w:sz w:val="24"/>
        </w:rPr>
      </w:pPr>
      <w:r>
        <w:rPr>
          <w:color w:val="636363"/>
          <w:sz w:val="24"/>
        </w:rPr>
        <w:t>Öğretmen, ders planında hangi araç-gereçleri ne zaman kullanacağını belirtmeli yeri gelince kullanmalıdır.</w:t>
      </w:r>
    </w:p>
    <w:p w:rsidR="002B5F1D" w:rsidRDefault="002B5F1D" w:rsidP="002B5F1D">
      <w:pPr>
        <w:numPr>
          <w:ilvl w:val="0"/>
          <w:numId w:val="1"/>
        </w:numPr>
        <w:spacing w:after="0" w:line="240" w:lineRule="auto"/>
        <w:jc w:val="both"/>
        <w:rPr>
          <w:sz w:val="24"/>
        </w:rPr>
      </w:pPr>
      <w:r>
        <w:rPr>
          <w:color w:val="636363"/>
          <w:sz w:val="24"/>
        </w:rPr>
        <w:lastRenderedPageBreak/>
        <w:t>Araç-gereçler eğitim teknolojileri ilkelerine göre kullanılmalıdır.</w:t>
      </w:r>
    </w:p>
    <w:p w:rsidR="002B5F1D" w:rsidRDefault="002B5F1D" w:rsidP="002B5F1D">
      <w:pPr>
        <w:numPr>
          <w:ilvl w:val="0"/>
          <w:numId w:val="1"/>
        </w:numPr>
        <w:spacing w:after="0" w:line="240" w:lineRule="auto"/>
        <w:jc w:val="both"/>
        <w:rPr>
          <w:sz w:val="20"/>
        </w:rPr>
      </w:pPr>
      <w:r>
        <w:rPr>
          <w:color w:val="636363"/>
          <w:sz w:val="24"/>
        </w:rPr>
        <w:t>Devinişsel alanla ilgili hedef davranışsal kazandırılırken, her bir öğrenciye öğretim materyalleri sağlanmalıdır (</w:t>
      </w:r>
      <w:proofErr w:type="gramStart"/>
      <w:r>
        <w:rPr>
          <w:color w:val="636363"/>
          <w:sz w:val="24"/>
        </w:rPr>
        <w:t>Araş.Grubu</w:t>
      </w:r>
      <w:proofErr w:type="gramEnd"/>
      <w:r>
        <w:rPr>
          <w:color w:val="636363"/>
          <w:sz w:val="24"/>
        </w:rPr>
        <w:t xml:space="preserve"> Öğrencileri, 2000).</w:t>
      </w:r>
    </w:p>
    <w:p w:rsidR="002B5F1D" w:rsidRDefault="002B5F1D" w:rsidP="002B5F1D">
      <w:pPr>
        <w:numPr>
          <w:ilvl w:val="0"/>
          <w:numId w:val="1"/>
        </w:numPr>
        <w:spacing w:after="0" w:line="240" w:lineRule="auto"/>
        <w:jc w:val="both"/>
      </w:pPr>
      <w:r>
        <w:t> </w:t>
      </w:r>
    </w:p>
    <w:p w:rsidR="002B5F1D" w:rsidRDefault="002B5F1D" w:rsidP="002B5F1D">
      <w:pPr>
        <w:numPr>
          <w:ilvl w:val="0"/>
          <w:numId w:val="1"/>
        </w:numPr>
        <w:spacing w:after="0" w:line="240" w:lineRule="auto"/>
        <w:jc w:val="both"/>
      </w:pPr>
      <w:r>
        <w:rPr>
          <w:color w:val="636363"/>
          <w:sz w:val="24"/>
          <w:szCs w:val="24"/>
        </w:rPr>
        <w:t>                                                          </w:t>
      </w:r>
    </w:p>
    <w:p w:rsidR="002B5F1D" w:rsidRDefault="002B5F1D" w:rsidP="002B5F1D">
      <w:pPr>
        <w:pStyle w:val="Balk2"/>
      </w:pPr>
      <w:bookmarkStart w:id="6" w:name="b6"/>
      <w:bookmarkStart w:id="7" w:name="_Toc530465706"/>
      <w:bookmarkEnd w:id="6"/>
      <w:r>
        <w:rPr>
          <w:color w:val="636363"/>
        </w:rPr>
        <w:t>Öğretim Materyallerinin Eğitim-Öğretime Sağladığı Yararlar</w:t>
      </w:r>
      <w:bookmarkEnd w:id="7"/>
    </w:p>
    <w:p w:rsidR="002B5F1D" w:rsidRDefault="002B5F1D" w:rsidP="002B5F1D">
      <w:pPr>
        <w:pStyle w:val="GvdeMetni"/>
        <w:numPr>
          <w:ilvl w:val="0"/>
          <w:numId w:val="2"/>
        </w:numPr>
      </w:pPr>
      <w:r>
        <w:rPr>
          <w:color w:val="636363"/>
        </w:rPr>
        <w:t>Öğrenmeyi kalıcı hale getirir.</w:t>
      </w:r>
    </w:p>
    <w:p w:rsidR="002B5F1D" w:rsidRDefault="002B5F1D" w:rsidP="002B5F1D">
      <w:pPr>
        <w:pStyle w:val="GvdeMetni"/>
        <w:numPr>
          <w:ilvl w:val="0"/>
          <w:numId w:val="2"/>
        </w:numPr>
      </w:pPr>
      <w:r>
        <w:rPr>
          <w:color w:val="636363"/>
        </w:rPr>
        <w:t>Öğrencilerin ilgisini çeker.</w:t>
      </w:r>
    </w:p>
    <w:p w:rsidR="002B5F1D" w:rsidRDefault="002B5F1D" w:rsidP="002B5F1D">
      <w:pPr>
        <w:pStyle w:val="GvdeMetni"/>
        <w:numPr>
          <w:ilvl w:val="0"/>
          <w:numId w:val="2"/>
        </w:numPr>
      </w:pPr>
      <w:r>
        <w:rPr>
          <w:color w:val="636363"/>
        </w:rPr>
        <w:t>Öğrenmeyi güçlendirir.</w:t>
      </w:r>
    </w:p>
    <w:p w:rsidR="002B5F1D" w:rsidRDefault="002B5F1D" w:rsidP="002B5F1D">
      <w:pPr>
        <w:pStyle w:val="GvdeMetni"/>
        <w:numPr>
          <w:ilvl w:val="0"/>
          <w:numId w:val="2"/>
        </w:numPr>
      </w:pPr>
      <w:r>
        <w:rPr>
          <w:color w:val="636363"/>
        </w:rPr>
        <w:t>Anlamın gelişmesi ve anlatım kolaylığı sağlar.</w:t>
      </w:r>
    </w:p>
    <w:p w:rsidR="002B5F1D" w:rsidRDefault="002B5F1D" w:rsidP="002B5F1D">
      <w:pPr>
        <w:pStyle w:val="GvdeMetni"/>
        <w:numPr>
          <w:ilvl w:val="0"/>
          <w:numId w:val="2"/>
        </w:numPr>
      </w:pPr>
      <w:r>
        <w:rPr>
          <w:color w:val="636363"/>
        </w:rPr>
        <w:t>Öğretimde zaman kazandırır.</w:t>
      </w:r>
    </w:p>
    <w:p w:rsidR="002B5F1D" w:rsidRDefault="002B5F1D" w:rsidP="002B5F1D">
      <w:pPr>
        <w:pStyle w:val="GvdeMetni"/>
        <w:numPr>
          <w:ilvl w:val="0"/>
          <w:numId w:val="2"/>
        </w:numPr>
      </w:pPr>
      <w:r>
        <w:rPr>
          <w:color w:val="636363"/>
        </w:rPr>
        <w:t>Öğrenmede uyarıcı etki yapar.</w:t>
      </w:r>
    </w:p>
    <w:p w:rsidR="002B5F1D" w:rsidRDefault="002B5F1D" w:rsidP="002B5F1D">
      <w:pPr>
        <w:pStyle w:val="GvdeMetni"/>
        <w:numPr>
          <w:ilvl w:val="0"/>
          <w:numId w:val="2"/>
        </w:numPr>
      </w:pPr>
      <w:r>
        <w:rPr>
          <w:color w:val="636363"/>
        </w:rPr>
        <w:t>Düşüncenin devamlılığını sağlar.</w:t>
      </w:r>
    </w:p>
    <w:p w:rsidR="002B5F1D" w:rsidRDefault="002B5F1D" w:rsidP="002B5F1D">
      <w:pPr>
        <w:pStyle w:val="GvdeMetni"/>
        <w:numPr>
          <w:ilvl w:val="0"/>
          <w:numId w:val="2"/>
        </w:numPr>
      </w:pPr>
      <w:r>
        <w:rPr>
          <w:color w:val="636363"/>
        </w:rPr>
        <w:t>Öğretim süreçlerini güçlendirir ve etkin kılar.</w:t>
      </w:r>
    </w:p>
    <w:p w:rsidR="002B5F1D" w:rsidRDefault="002B5F1D" w:rsidP="002B5F1D">
      <w:pPr>
        <w:pStyle w:val="GvdeMetni"/>
        <w:numPr>
          <w:ilvl w:val="0"/>
          <w:numId w:val="2"/>
        </w:numPr>
      </w:pPr>
      <w:r>
        <w:rPr>
          <w:color w:val="636363"/>
        </w:rPr>
        <w:t xml:space="preserve">Sözcük gelişimine katkı sağlarlar </w:t>
      </w:r>
      <w:proofErr w:type="gramStart"/>
      <w:r>
        <w:rPr>
          <w:color w:val="636363"/>
        </w:rPr>
        <w:t>(</w:t>
      </w:r>
      <w:proofErr w:type="gramEnd"/>
      <w:r>
        <w:rPr>
          <w:color w:val="636363"/>
        </w:rPr>
        <w:t>Şimşek,1997</w:t>
      </w:r>
    </w:p>
    <w:p w:rsidR="00B147CA" w:rsidRDefault="00B147CA"/>
    <w:sectPr w:rsidR="00B147CA" w:rsidSect="00B147C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C547C8"/>
    <w:multiLevelType w:val="multilevel"/>
    <w:tmpl w:val="68F28E3C"/>
    <w:lvl w:ilvl="0">
      <w:start w:val="1"/>
      <w:numFmt w:val="decimal"/>
      <w:lvlText w:val="%1-"/>
      <w:lvlJc w:val="left"/>
      <w:pPr>
        <w:tabs>
          <w:tab w:val="num" w:pos="1065"/>
        </w:tabs>
        <w:ind w:left="10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784C51E5"/>
    <w:multiLevelType w:val="multilevel"/>
    <w:tmpl w:val="2998FA84"/>
    <w:lvl w:ilvl="0">
      <w:start w:val="1"/>
      <w:numFmt w:val="lowerLetter"/>
      <w:lvlText w:val="%1."/>
      <w:lvlJc w:val="left"/>
      <w:pPr>
        <w:tabs>
          <w:tab w:val="num" w:pos="1425"/>
        </w:tabs>
        <w:ind w:left="142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5F1D"/>
    <w:rsid w:val="002B5F1D"/>
    <w:rsid w:val="00B147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7CA"/>
  </w:style>
  <w:style w:type="paragraph" w:styleId="Balk1">
    <w:name w:val="heading 1"/>
    <w:basedOn w:val="Normal"/>
    <w:next w:val="Normal"/>
    <w:link w:val="Balk1Char"/>
    <w:uiPriority w:val="9"/>
    <w:qFormat/>
    <w:rsid w:val="002B5F1D"/>
    <w:pPr>
      <w:keepNext/>
      <w:tabs>
        <w:tab w:val="right" w:pos="7938"/>
      </w:tabs>
      <w:spacing w:after="0" w:line="240" w:lineRule="auto"/>
      <w:jc w:val="both"/>
      <w:outlineLvl w:val="0"/>
    </w:pPr>
    <w:rPr>
      <w:rFonts w:ascii="Times New Roman" w:eastAsia="Times New Roman" w:hAnsi="Times New Roman" w:cs="Times New Roman"/>
      <w:sz w:val="24"/>
      <w:szCs w:val="20"/>
      <w:lang w:eastAsia="tr-TR"/>
    </w:rPr>
  </w:style>
  <w:style w:type="paragraph" w:styleId="Balk2">
    <w:name w:val="heading 2"/>
    <w:basedOn w:val="Normal"/>
    <w:next w:val="Normal"/>
    <w:link w:val="Balk2Char"/>
    <w:uiPriority w:val="9"/>
    <w:semiHidden/>
    <w:unhideWhenUsed/>
    <w:qFormat/>
    <w:rsid w:val="002B5F1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B5F1D"/>
    <w:rPr>
      <w:rFonts w:ascii="Times New Roman" w:eastAsia="Times New Roman" w:hAnsi="Times New Roman" w:cs="Times New Roman"/>
      <w:sz w:val="24"/>
      <w:szCs w:val="20"/>
      <w:lang w:eastAsia="tr-TR"/>
    </w:rPr>
  </w:style>
  <w:style w:type="paragraph" w:styleId="GvdeMetni">
    <w:name w:val="Body Text"/>
    <w:basedOn w:val="Normal"/>
    <w:link w:val="GvdeMetniChar"/>
    <w:uiPriority w:val="99"/>
    <w:semiHidden/>
    <w:unhideWhenUsed/>
    <w:rsid w:val="002B5F1D"/>
    <w:pPr>
      <w:spacing w:after="0" w:line="240" w:lineRule="auto"/>
      <w:jc w:val="both"/>
    </w:pPr>
    <w:rPr>
      <w:rFonts w:ascii="Times New Roman" w:eastAsia="Times New Roman" w:hAnsi="Times New Roman" w:cs="Times New Roman"/>
      <w:sz w:val="24"/>
      <w:szCs w:val="20"/>
      <w:lang w:eastAsia="tr-TR"/>
    </w:rPr>
  </w:style>
  <w:style w:type="character" w:customStyle="1" w:styleId="GvdeMetniChar">
    <w:name w:val="Gövde Metni Char"/>
    <w:basedOn w:val="VarsaylanParagrafYazTipi"/>
    <w:link w:val="GvdeMetni"/>
    <w:uiPriority w:val="99"/>
    <w:semiHidden/>
    <w:rsid w:val="002B5F1D"/>
    <w:rPr>
      <w:rFonts w:ascii="Times New Roman" w:eastAsia="Times New Roman" w:hAnsi="Times New Roman" w:cs="Times New Roman"/>
      <w:sz w:val="24"/>
      <w:szCs w:val="20"/>
      <w:lang w:eastAsia="tr-TR"/>
    </w:rPr>
  </w:style>
  <w:style w:type="character" w:customStyle="1" w:styleId="Balk2Char">
    <w:name w:val="Başlık 2 Char"/>
    <w:basedOn w:val="VarsaylanParagrafYazTipi"/>
    <w:link w:val="Balk2"/>
    <w:uiPriority w:val="9"/>
    <w:semiHidden/>
    <w:rsid w:val="002B5F1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297616637">
      <w:bodyDiv w:val="1"/>
      <w:marLeft w:val="0"/>
      <w:marRight w:val="0"/>
      <w:marTop w:val="0"/>
      <w:marBottom w:val="0"/>
      <w:divBdr>
        <w:top w:val="none" w:sz="0" w:space="0" w:color="auto"/>
        <w:left w:val="none" w:sz="0" w:space="0" w:color="auto"/>
        <w:bottom w:val="none" w:sz="0" w:space="0" w:color="auto"/>
        <w:right w:val="none" w:sz="0" w:space="0" w:color="auto"/>
      </w:divBdr>
      <w:divsChild>
        <w:div w:id="1418480592">
          <w:marLeft w:val="0"/>
          <w:marRight w:val="0"/>
          <w:marTop w:val="0"/>
          <w:marBottom w:val="0"/>
          <w:divBdr>
            <w:top w:val="none" w:sz="0" w:space="0" w:color="auto"/>
            <w:left w:val="none" w:sz="0" w:space="0" w:color="auto"/>
            <w:bottom w:val="none" w:sz="0" w:space="0" w:color="auto"/>
            <w:right w:val="none" w:sz="0" w:space="0" w:color="auto"/>
          </w:divBdr>
        </w:div>
      </w:divsChild>
    </w:div>
    <w:div w:id="461770831">
      <w:bodyDiv w:val="1"/>
      <w:marLeft w:val="0"/>
      <w:marRight w:val="0"/>
      <w:marTop w:val="0"/>
      <w:marBottom w:val="0"/>
      <w:divBdr>
        <w:top w:val="none" w:sz="0" w:space="0" w:color="auto"/>
        <w:left w:val="none" w:sz="0" w:space="0" w:color="auto"/>
        <w:bottom w:val="none" w:sz="0" w:space="0" w:color="auto"/>
        <w:right w:val="none" w:sz="0" w:space="0" w:color="auto"/>
      </w:divBdr>
      <w:divsChild>
        <w:div w:id="24986286">
          <w:marLeft w:val="0"/>
          <w:marRight w:val="0"/>
          <w:marTop w:val="0"/>
          <w:marBottom w:val="0"/>
          <w:divBdr>
            <w:top w:val="none" w:sz="0" w:space="0" w:color="auto"/>
            <w:left w:val="none" w:sz="0" w:space="0" w:color="auto"/>
            <w:bottom w:val="none" w:sz="0" w:space="0" w:color="auto"/>
            <w:right w:val="none" w:sz="0" w:space="0" w:color="auto"/>
          </w:divBdr>
        </w:div>
      </w:divsChild>
    </w:div>
    <w:div w:id="747266643">
      <w:bodyDiv w:val="1"/>
      <w:marLeft w:val="0"/>
      <w:marRight w:val="0"/>
      <w:marTop w:val="0"/>
      <w:marBottom w:val="0"/>
      <w:divBdr>
        <w:top w:val="none" w:sz="0" w:space="0" w:color="auto"/>
        <w:left w:val="none" w:sz="0" w:space="0" w:color="auto"/>
        <w:bottom w:val="none" w:sz="0" w:space="0" w:color="auto"/>
        <w:right w:val="none" w:sz="0" w:space="0" w:color="auto"/>
      </w:divBdr>
      <w:divsChild>
        <w:div w:id="677587428">
          <w:marLeft w:val="0"/>
          <w:marRight w:val="0"/>
          <w:marTop w:val="0"/>
          <w:marBottom w:val="0"/>
          <w:divBdr>
            <w:top w:val="none" w:sz="0" w:space="0" w:color="auto"/>
            <w:left w:val="none" w:sz="0" w:space="0" w:color="auto"/>
            <w:bottom w:val="none" w:sz="0" w:space="0" w:color="auto"/>
            <w:right w:val="none" w:sz="0" w:space="0" w:color="auto"/>
          </w:divBdr>
        </w:div>
      </w:divsChild>
    </w:div>
    <w:div w:id="830218717">
      <w:bodyDiv w:val="1"/>
      <w:marLeft w:val="0"/>
      <w:marRight w:val="0"/>
      <w:marTop w:val="0"/>
      <w:marBottom w:val="0"/>
      <w:divBdr>
        <w:top w:val="none" w:sz="0" w:space="0" w:color="auto"/>
        <w:left w:val="none" w:sz="0" w:space="0" w:color="auto"/>
        <w:bottom w:val="none" w:sz="0" w:space="0" w:color="auto"/>
        <w:right w:val="none" w:sz="0" w:space="0" w:color="auto"/>
      </w:divBdr>
      <w:divsChild>
        <w:div w:id="1176847900">
          <w:marLeft w:val="0"/>
          <w:marRight w:val="0"/>
          <w:marTop w:val="0"/>
          <w:marBottom w:val="0"/>
          <w:divBdr>
            <w:top w:val="none" w:sz="0" w:space="0" w:color="auto"/>
            <w:left w:val="none" w:sz="0" w:space="0" w:color="auto"/>
            <w:bottom w:val="none" w:sz="0" w:space="0" w:color="auto"/>
            <w:right w:val="none" w:sz="0" w:space="0" w:color="auto"/>
          </w:divBdr>
        </w:div>
      </w:divsChild>
    </w:div>
    <w:div w:id="1699233667">
      <w:bodyDiv w:val="1"/>
      <w:marLeft w:val="0"/>
      <w:marRight w:val="0"/>
      <w:marTop w:val="0"/>
      <w:marBottom w:val="0"/>
      <w:divBdr>
        <w:top w:val="none" w:sz="0" w:space="0" w:color="auto"/>
        <w:left w:val="none" w:sz="0" w:space="0" w:color="auto"/>
        <w:bottom w:val="none" w:sz="0" w:space="0" w:color="auto"/>
        <w:right w:val="none" w:sz="0" w:space="0" w:color="auto"/>
      </w:divBdr>
      <w:divsChild>
        <w:div w:id="110786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XP</cp:lastModifiedBy>
  <cp:revision>1</cp:revision>
  <dcterms:created xsi:type="dcterms:W3CDTF">2009-08-31T14:10:00Z</dcterms:created>
  <dcterms:modified xsi:type="dcterms:W3CDTF">2009-08-31T14:11:00Z</dcterms:modified>
</cp:coreProperties>
</file>